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9756E" w14:textId="3E09F872" w:rsidR="3A771524" w:rsidRDefault="3A771524"/>
    <w:p w14:paraId="6D77F013" w14:textId="35AA61F6" w:rsidR="3A771524" w:rsidRDefault="3A771524" w:rsidP="3A771524"/>
    <w:tbl>
      <w:tblPr>
        <w:tblW w:w="14742" w:type="dxa"/>
        <w:tblInd w:w="13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9"/>
        <w:gridCol w:w="2729"/>
        <w:gridCol w:w="2978"/>
        <w:gridCol w:w="1417"/>
        <w:gridCol w:w="709"/>
      </w:tblGrid>
      <w:tr w:rsidR="00722F04" w:rsidRPr="001474F1" w14:paraId="15C4F07A" w14:textId="77777777" w:rsidTr="4A94E73E">
        <w:tc>
          <w:tcPr>
            <w:tcW w:w="1474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8392" w14:textId="7BCE326A" w:rsidR="00722F04" w:rsidRPr="00DC62EC" w:rsidRDefault="00722F04" w:rsidP="00DC62EC">
            <w:pPr>
              <w:shd w:val="clear" w:color="auto" w:fill="2F5496" w:themeFill="accent1" w:themeFillShade="BF"/>
              <w:rPr>
                <w:rFonts w:ascii="Tw Cen MT" w:hAnsi="Tw Cen MT"/>
                <w:szCs w:val="20"/>
              </w:rPr>
            </w:pPr>
            <w:r>
              <w:br w:type="page"/>
            </w:r>
            <w:r w:rsidRPr="00DC62EC">
              <w:rPr>
                <w:rFonts w:ascii="Tw Cen MT" w:eastAsia="Verdana" w:hAnsi="Tw Cen MT" w:cs="Verdana"/>
                <w:b/>
                <w:bCs/>
                <w:color w:val="FFFFFF" w:themeColor="background1"/>
                <w:sz w:val="32"/>
                <w:szCs w:val="40"/>
                <w:shd w:val="clear" w:color="auto" w:fill="2F5496" w:themeFill="accent1" w:themeFillShade="BF"/>
              </w:rPr>
              <w:t xml:space="preserve">POLIZIA </w:t>
            </w:r>
            <w:r w:rsidR="00577DC4" w:rsidRPr="00DC62EC">
              <w:rPr>
                <w:rFonts w:ascii="Tw Cen MT" w:eastAsia="Verdana" w:hAnsi="Tw Cen MT" w:cs="Verdana"/>
                <w:b/>
                <w:bCs/>
                <w:color w:val="FFFFFF" w:themeColor="background1"/>
                <w:sz w:val="32"/>
                <w:szCs w:val="40"/>
                <w:shd w:val="clear" w:color="auto" w:fill="2F5496" w:themeFill="accent1" w:themeFillShade="BF"/>
              </w:rPr>
              <w:t>LOCALE</w:t>
            </w:r>
            <w:r w:rsidR="00577DC4" w:rsidRPr="00DC62EC">
              <w:rPr>
                <w:rFonts w:ascii="Tw Cen MT" w:eastAsia="Verdana" w:hAnsi="Tw Cen MT" w:cs="Verdana"/>
                <w:b/>
                <w:bCs/>
                <w:color w:val="FFFFFF" w:themeColor="background1"/>
                <w:sz w:val="32"/>
                <w:szCs w:val="40"/>
              </w:rPr>
              <w:t xml:space="preserve"> </w:t>
            </w:r>
          </w:p>
          <w:p w14:paraId="4337625D" w14:textId="3E1CB7D7" w:rsidR="00722F04" w:rsidRPr="008346C4" w:rsidRDefault="00722F04">
            <w:pPr>
              <w:spacing w:after="0" w:line="245" w:lineRule="auto"/>
              <w:rPr>
                <w:rFonts w:ascii="Barlow" w:hAnsi="Barlow"/>
                <w:b/>
              </w:rPr>
            </w:pPr>
            <w:r w:rsidRPr="008346C4">
              <w:rPr>
                <w:rFonts w:ascii="Barlow" w:hAnsi="Barlow"/>
                <w:b/>
              </w:rPr>
              <w:t xml:space="preserve">Descrizione della funzione Polizia </w:t>
            </w:r>
            <w:r w:rsidR="00577DC4" w:rsidRPr="008346C4">
              <w:rPr>
                <w:rFonts w:ascii="Barlow" w:hAnsi="Barlow"/>
                <w:b/>
              </w:rPr>
              <w:t>locale</w:t>
            </w:r>
          </w:p>
          <w:p w14:paraId="3EC559F5" w14:textId="10D05042" w:rsidR="00722F04" w:rsidRPr="008346C4" w:rsidRDefault="00722F04">
            <w:pPr>
              <w:spacing w:after="0" w:line="245" w:lineRule="auto"/>
              <w:rPr>
                <w:rFonts w:ascii="Barlow" w:hAnsi="Barlow"/>
                <w:b/>
              </w:rPr>
            </w:pPr>
            <w:r w:rsidRPr="008346C4">
              <w:rPr>
                <w:rFonts w:ascii="Barlow" w:hAnsi="Barlow"/>
                <w:b/>
              </w:rPr>
              <w:t xml:space="preserve">La gestione associata in Unione deve comprendere le funzioni relative al controllo della mobilità e sicurezza stradale, alla tutela della libertà di impresa e tutela del consumatore, comprensiva almeno delle attività di polizia amministrativa commerciale e al contrasto delle forme di commercio irregolari, alla tutela della qualità urbana e rurale (polizia edilizia),  alla tutela della vivibilità e della sicurezza urbana e rurale (polizia giudiziaria),  al supporto nelle attività di controllo spettanti agli organi di vigilanza preposti alla verifica della sicurezza e regolarità del lavoro, al controllo relativo ai tributi locali e al soccorso in caso di calamità, catastrofi ed altri eventi che richiedano interventi di protezione civile. </w:t>
            </w:r>
          </w:p>
          <w:p w14:paraId="3418F37B" w14:textId="77777777" w:rsidR="00722F04" w:rsidRPr="008346C4" w:rsidRDefault="00722F04">
            <w:pPr>
              <w:tabs>
                <w:tab w:val="left" w:pos="1140"/>
              </w:tabs>
              <w:spacing w:after="0" w:line="245" w:lineRule="auto"/>
              <w:rPr>
                <w:rFonts w:ascii="Barlow" w:hAnsi="Barlow"/>
                <w:bCs/>
              </w:rPr>
            </w:pPr>
          </w:p>
          <w:p w14:paraId="3C41899B" w14:textId="1D444518" w:rsidR="00722F04" w:rsidRPr="008346C4" w:rsidRDefault="00722F04">
            <w:pPr>
              <w:spacing w:after="0" w:line="245" w:lineRule="auto"/>
              <w:rPr>
                <w:rFonts w:ascii="Barlow" w:hAnsi="Barlow"/>
                <w:bCs/>
              </w:rPr>
            </w:pPr>
            <w:r w:rsidRPr="008346C4">
              <w:rPr>
                <w:rFonts w:ascii="Barlow" w:hAnsi="Barlow"/>
                <w:bCs/>
              </w:rPr>
              <w:t xml:space="preserve">Il conferimento all’Unione da parte dei Comuni aderenti della funzione di Polizia </w:t>
            </w:r>
            <w:r w:rsidR="006D4158" w:rsidRPr="008346C4">
              <w:rPr>
                <w:rFonts w:ascii="Barlow" w:hAnsi="Barlow"/>
                <w:bCs/>
              </w:rPr>
              <w:t xml:space="preserve">Locale </w:t>
            </w:r>
            <w:r w:rsidRPr="008346C4">
              <w:rPr>
                <w:rFonts w:ascii="Barlow" w:hAnsi="Barlow"/>
                <w:bCs/>
              </w:rPr>
              <w:t xml:space="preserve">con l’istituzione del Corpo/Servizio unico di Polizia </w:t>
            </w:r>
            <w:r w:rsidR="006D4158" w:rsidRPr="008346C4">
              <w:rPr>
                <w:rFonts w:ascii="Barlow" w:hAnsi="Barlow"/>
                <w:bCs/>
              </w:rPr>
              <w:t xml:space="preserve">locale </w:t>
            </w:r>
            <w:r w:rsidRPr="008346C4">
              <w:rPr>
                <w:rFonts w:ascii="Barlow" w:hAnsi="Barlow"/>
                <w:bCs/>
              </w:rPr>
              <w:t>deve riguardare le seguenti attività:</w:t>
            </w:r>
          </w:p>
          <w:p w14:paraId="1A7CCCE0" w14:textId="77777777" w:rsidR="00D91ABB" w:rsidRDefault="0008554E" w:rsidP="00B01236">
            <w:pPr>
              <w:pStyle w:val="Paragrafoelenco"/>
              <w:numPr>
                <w:ilvl w:val="0"/>
                <w:numId w:val="8"/>
              </w:numPr>
              <w:spacing w:after="0" w:line="245" w:lineRule="auto"/>
              <w:rPr>
                <w:rFonts w:ascii="Barlow" w:hAnsi="Barlow"/>
                <w:bCs/>
                <w:sz w:val="22"/>
              </w:rPr>
            </w:pPr>
            <w:r w:rsidRPr="00D91ABB">
              <w:rPr>
                <w:rFonts w:ascii="Barlow" w:hAnsi="Barlow"/>
                <w:bCs/>
                <w:sz w:val="22"/>
              </w:rPr>
              <w:t>attività di polizia amministrativa locale e di polizia giudiziaria finalizzate prioritariamente alla tutela della vivibilità e della sicurezza urbana e rurale;</w:t>
            </w:r>
          </w:p>
          <w:p w14:paraId="2641974F" w14:textId="77777777" w:rsidR="00D91ABB" w:rsidRPr="00D91ABB" w:rsidRDefault="0008554E" w:rsidP="00B01236">
            <w:pPr>
              <w:pStyle w:val="Paragrafoelenco"/>
              <w:numPr>
                <w:ilvl w:val="0"/>
                <w:numId w:val="8"/>
              </w:numPr>
              <w:spacing w:after="0" w:line="245" w:lineRule="auto"/>
              <w:rPr>
                <w:rFonts w:ascii="Barlow" w:hAnsi="Barlow"/>
                <w:bCs/>
                <w:sz w:val="22"/>
              </w:rPr>
            </w:pPr>
            <w:r w:rsidRPr="00D91ABB">
              <w:rPr>
                <w:rFonts w:ascii="Barlow" w:hAnsi="Barlow"/>
                <w:bCs/>
                <w:sz w:val="22"/>
              </w:rPr>
              <w:t>attività di polizia stradale finalizzata prioritariamente al controllo della mobilità e della sicurezza stradale;</w:t>
            </w:r>
          </w:p>
          <w:p w14:paraId="36799FC6" w14:textId="77777777" w:rsidR="00D91ABB" w:rsidRPr="00D91ABB" w:rsidRDefault="0008554E" w:rsidP="00B01236">
            <w:pPr>
              <w:pStyle w:val="Paragrafoelenco"/>
              <w:numPr>
                <w:ilvl w:val="0"/>
                <w:numId w:val="8"/>
              </w:numPr>
              <w:spacing w:after="0" w:line="245" w:lineRule="auto"/>
              <w:rPr>
                <w:rFonts w:ascii="Barlow" w:hAnsi="Barlow"/>
                <w:bCs/>
                <w:sz w:val="22"/>
              </w:rPr>
            </w:pPr>
            <w:r w:rsidRPr="00D91ABB">
              <w:rPr>
                <w:rFonts w:ascii="Barlow" w:hAnsi="Barlow"/>
                <w:bCs/>
                <w:sz w:val="22"/>
              </w:rPr>
              <w:t>attività di polizia amministrativa commerciale finalizzata prioritariamente alla tutela del consumatore, anche in relazione alle dipendenze patologiche, e della libertà di impresa e al contrasto del fenomeno dell'abusivismo e della contraffazione commerciale;</w:t>
            </w:r>
          </w:p>
          <w:p w14:paraId="194D3995" w14:textId="77777777" w:rsidR="00D91ABB" w:rsidRPr="00D91ABB" w:rsidRDefault="0008554E" w:rsidP="00B01236">
            <w:pPr>
              <w:pStyle w:val="Paragrafoelenco"/>
              <w:numPr>
                <w:ilvl w:val="0"/>
                <w:numId w:val="8"/>
              </w:numPr>
              <w:spacing w:after="0" w:line="245" w:lineRule="auto"/>
              <w:rPr>
                <w:rFonts w:ascii="Barlow" w:hAnsi="Barlow"/>
                <w:bCs/>
                <w:sz w:val="22"/>
              </w:rPr>
            </w:pPr>
            <w:r w:rsidRPr="00D91ABB">
              <w:rPr>
                <w:rFonts w:ascii="Barlow" w:hAnsi="Barlow"/>
                <w:bCs/>
                <w:sz w:val="22"/>
              </w:rPr>
              <w:t>attività di polizia amministrativa edilizia finalizzata prioritariamente alla tutela della qualità urbana e rurale;</w:t>
            </w:r>
          </w:p>
          <w:p w14:paraId="0D2F9F7D" w14:textId="77777777" w:rsidR="00D91ABB" w:rsidRPr="00D91ABB" w:rsidRDefault="0008554E" w:rsidP="00B01236">
            <w:pPr>
              <w:pStyle w:val="Paragrafoelenco"/>
              <w:numPr>
                <w:ilvl w:val="0"/>
                <w:numId w:val="8"/>
              </w:numPr>
              <w:spacing w:after="0" w:line="245" w:lineRule="auto"/>
              <w:rPr>
                <w:rFonts w:ascii="Barlow" w:hAnsi="Barlow"/>
                <w:bCs/>
                <w:sz w:val="22"/>
              </w:rPr>
            </w:pPr>
            <w:r w:rsidRPr="00D91ABB">
              <w:rPr>
                <w:rFonts w:ascii="Barlow" w:hAnsi="Barlow"/>
                <w:bCs/>
                <w:sz w:val="22"/>
              </w:rPr>
              <w:t>attività di controllo relativa ai tributi secondo quando previsto dai rispettivi regolamenti finalizzata prioritariamente al contrasto all'evasione con particolare riferimento a quella fiscale e contributiva;</w:t>
            </w:r>
          </w:p>
          <w:p w14:paraId="60B33EA6" w14:textId="77777777" w:rsidR="00D91ABB" w:rsidRPr="00D91ABB" w:rsidRDefault="0008554E" w:rsidP="00B01236">
            <w:pPr>
              <w:pStyle w:val="Paragrafoelenco"/>
              <w:numPr>
                <w:ilvl w:val="0"/>
                <w:numId w:val="8"/>
              </w:numPr>
              <w:spacing w:after="0" w:line="245" w:lineRule="auto"/>
              <w:rPr>
                <w:rFonts w:ascii="Barlow" w:hAnsi="Barlow"/>
                <w:bCs/>
                <w:sz w:val="22"/>
              </w:rPr>
            </w:pPr>
            <w:r w:rsidRPr="00D91ABB">
              <w:rPr>
                <w:rFonts w:ascii="Barlow" w:hAnsi="Barlow"/>
                <w:bCs/>
                <w:sz w:val="22"/>
              </w:rPr>
              <w:t>attività di soccorso in caso di calamità, catastrofi ed altri eventi che richiedano interventi di protezione civile;</w:t>
            </w:r>
          </w:p>
          <w:p w14:paraId="0766495B" w14:textId="0531C084" w:rsidR="0008554E" w:rsidRPr="00D91ABB" w:rsidRDefault="0008554E" w:rsidP="00B01236">
            <w:pPr>
              <w:pStyle w:val="Paragrafoelenco"/>
              <w:numPr>
                <w:ilvl w:val="0"/>
                <w:numId w:val="8"/>
              </w:numPr>
              <w:spacing w:after="0" w:line="245" w:lineRule="auto"/>
              <w:rPr>
                <w:rFonts w:ascii="Barlow" w:hAnsi="Barlow"/>
                <w:bCs/>
                <w:sz w:val="22"/>
              </w:rPr>
            </w:pPr>
            <w:r w:rsidRPr="00D91ABB">
              <w:rPr>
                <w:rFonts w:ascii="Barlow" w:hAnsi="Barlow"/>
                <w:bCs/>
                <w:sz w:val="22"/>
              </w:rPr>
              <w:t>attività ausiliarie di pubblica sicurezza</w:t>
            </w:r>
          </w:p>
          <w:p w14:paraId="518729E5" w14:textId="77777777" w:rsidR="0008554E" w:rsidRPr="008346C4" w:rsidRDefault="0008554E">
            <w:pPr>
              <w:spacing w:after="0" w:line="245" w:lineRule="auto"/>
              <w:rPr>
                <w:rFonts w:ascii="Barlow" w:hAnsi="Barlow"/>
                <w:bCs/>
              </w:rPr>
            </w:pPr>
          </w:p>
          <w:p w14:paraId="172BF2E9" w14:textId="3D47D26C" w:rsidR="00BE5359" w:rsidRDefault="00722F04">
            <w:pPr>
              <w:spacing w:after="0" w:line="245" w:lineRule="auto"/>
            </w:pPr>
            <w:r w:rsidRPr="008346C4">
              <w:t xml:space="preserve">v. schema tipo convenzione link: </w:t>
            </w:r>
            <w:hyperlink r:id="rId8" w:history="1">
              <w:r w:rsidR="00EC1F0E" w:rsidRPr="00534C6F">
                <w:rPr>
                  <w:rStyle w:val="Collegamentoipertestuale"/>
                </w:rPr>
                <w:t>https://autonomie.regione.emilia-romagna.it/unioni-di-comuni/programma-di-riordino-territoriale/prt-2024-2026</w:t>
              </w:r>
            </w:hyperlink>
            <w:r w:rsidR="00EC1F0E">
              <w:t xml:space="preserve"> </w:t>
            </w:r>
          </w:p>
          <w:p w14:paraId="300DA021" w14:textId="77777777" w:rsidR="00F20C17" w:rsidRPr="001474F1" w:rsidRDefault="00F20C17">
            <w:pPr>
              <w:spacing w:after="0" w:line="245" w:lineRule="auto"/>
            </w:pPr>
          </w:p>
        </w:tc>
      </w:tr>
      <w:tr w:rsidR="00D80189" w:rsidRPr="00DB6AE2" w14:paraId="0FD4D988" w14:textId="77777777" w:rsidTr="00D80189"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2DAB" w14:textId="77777777" w:rsidR="00D80189" w:rsidRPr="00D80189" w:rsidRDefault="00D80189">
            <w:pPr>
              <w:spacing w:after="0" w:line="245" w:lineRule="auto"/>
              <w:rPr>
                <w:rFonts w:ascii="Barlow" w:hAnsi="Barlow"/>
                <w:b/>
                <w:bCs/>
                <w:color w:val="2F5496" w:themeColor="accent1" w:themeShade="BF"/>
              </w:rPr>
            </w:pPr>
            <w:r w:rsidRPr="00D80189">
              <w:rPr>
                <w:rFonts w:ascii="Barlow" w:hAnsi="Barlow"/>
                <w:b/>
                <w:bCs/>
                <w:color w:val="2F5496" w:themeColor="accent1" w:themeShade="BF"/>
              </w:rPr>
              <w:t>Azioni obbligatorie per accedere all’incentivo (livello base)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DF8D" w14:textId="77777777" w:rsidR="00D80189" w:rsidRPr="00D80189" w:rsidRDefault="00D80189">
            <w:pPr>
              <w:spacing w:after="0" w:line="245" w:lineRule="auto"/>
              <w:rPr>
                <w:rFonts w:ascii="Barlow" w:hAnsi="Barlow"/>
                <w:b/>
                <w:bCs/>
                <w:color w:val="2F5496" w:themeColor="accent1" w:themeShade="BF"/>
              </w:rPr>
            </w:pPr>
            <w:r w:rsidRPr="00D80189">
              <w:rPr>
                <w:rFonts w:ascii="Barlow" w:hAnsi="Barlow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E350" w14:textId="6C4FD4BD" w:rsidR="00D80189" w:rsidRPr="00D80189" w:rsidRDefault="00D80189">
            <w:pPr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D80189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e link dell’atto </w:t>
            </w:r>
          </w:p>
        </w:tc>
        <w:tc>
          <w:tcPr>
            <w:tcW w:w="212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62C78" w14:textId="7C03ECB8" w:rsidR="00D80189" w:rsidRPr="00D80189" w:rsidRDefault="00D80189">
            <w:pPr>
              <w:jc w:val="center"/>
              <w:rPr>
                <w:rFonts w:ascii="Barlow" w:hAnsi="Barlow"/>
                <w:color w:val="1F3864"/>
              </w:rPr>
            </w:pPr>
            <w:r w:rsidRPr="00D80189">
              <w:rPr>
                <w:rFonts w:ascii="Barlow" w:hAnsi="Barlow"/>
                <w:color w:val="2F5496" w:themeColor="accent1" w:themeShade="BF"/>
              </w:rPr>
              <w:t>Contributo in % punteggio</w:t>
            </w:r>
          </w:p>
        </w:tc>
      </w:tr>
      <w:tr w:rsidR="00722F04" w:rsidRPr="00DB6AE2" w14:paraId="1CE859DC" w14:textId="77777777" w:rsidTr="00D80189">
        <w:trPr>
          <w:trHeight w:val="624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DE7D" w14:textId="77777777" w:rsidR="00722F04" w:rsidRPr="00DB6AE2" w:rsidRDefault="00722F04">
            <w:pPr>
              <w:spacing w:after="0" w:line="240" w:lineRule="exact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 xml:space="preserve">Conferimento della funzione e attivazione delle azioni sopra richiamate con costituzione del Corpo/servizio unico 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686E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 xml:space="preserve">Convenzione           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2A18" w14:textId="77777777" w:rsidR="00722F04" w:rsidRPr="00DB6AE2" w:rsidRDefault="00722F04">
            <w:pPr>
              <w:rPr>
                <w:rFonts w:ascii="Barlow" w:hAnsi="Bar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627F" w14:textId="77777777" w:rsidR="00722F04" w:rsidRDefault="00722F04">
            <w:pPr>
              <w:jc w:val="center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50%</w:t>
            </w:r>
          </w:p>
          <w:p w14:paraId="3F337DEF" w14:textId="77777777" w:rsidR="00F20C17" w:rsidRPr="00DB6AE2" w:rsidRDefault="00F20C17">
            <w:pPr>
              <w:jc w:val="center"/>
              <w:rPr>
                <w:rFonts w:ascii="Barlow" w:hAnsi="Bar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z w:val="36"/>
                <w:szCs w:val="20"/>
                <w:shd w:val="clear" w:color="auto" w:fill="E6E6E6"/>
              </w:rPr>
              <w:id w:val="1295408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szCs w:val="36"/>
              </w:rPr>
            </w:sdtEndPr>
            <w:sdtContent>
              <w:p w14:paraId="357321E7" w14:textId="77777777" w:rsidR="00722F04" w:rsidRPr="00DB6AE2" w:rsidRDefault="00722F04">
                <w:pPr>
                  <w:jc w:val="center"/>
                  <w:rPr>
                    <w:rFonts w:ascii="Barlow" w:hAnsi="Barlow" w:cs="Times New Roman"/>
                    <w:color w:val="2F5496" w:themeColor="accent1" w:themeShade="BF"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F5496" w:themeColor="accent1" w:themeShade="BF"/>
                    <w:sz w:val="36"/>
                    <w:szCs w:val="20"/>
                  </w:rPr>
                  <w:t>☐</w:t>
                </w:r>
              </w:p>
            </w:sdtContent>
          </w:sdt>
        </w:tc>
      </w:tr>
      <w:tr w:rsidR="00722F04" w:rsidRPr="00DB6AE2" w14:paraId="041497BF" w14:textId="77777777" w:rsidTr="00D80189">
        <w:trPr>
          <w:trHeight w:val="624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1694" w14:textId="7E13657B" w:rsidR="00722F04" w:rsidRPr="00DB6AE2" w:rsidRDefault="00722F04">
            <w:pPr>
              <w:spacing w:after="0" w:line="240" w:lineRule="exact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 xml:space="preserve">Istituzione della struttura organizzativa in Unione con costituzione del </w:t>
            </w:r>
            <w:r w:rsidR="0057102F">
              <w:rPr>
                <w:rFonts w:ascii="Barlow" w:hAnsi="Barlow"/>
              </w:rPr>
              <w:t>Servizio/</w:t>
            </w:r>
            <w:r w:rsidRPr="00DB6AE2">
              <w:rPr>
                <w:rFonts w:ascii="Barlow" w:hAnsi="Barlow"/>
              </w:rPr>
              <w:t xml:space="preserve">Corpo unico 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F472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 xml:space="preserve">Organigramma             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9A99" w14:textId="77777777" w:rsidR="00722F04" w:rsidRPr="00DB6AE2" w:rsidRDefault="00722F04">
            <w:pPr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A99D" w14:textId="77777777" w:rsidR="00722F04" w:rsidRPr="00DB6AE2" w:rsidRDefault="00722F04">
            <w:pPr>
              <w:rPr>
                <w:rFonts w:ascii="Barlow" w:hAnsi="Barlow"/>
                <w:sz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B131" w14:textId="77777777" w:rsidR="00722F04" w:rsidRPr="00DB6AE2" w:rsidRDefault="00722F04">
            <w:pPr>
              <w:jc w:val="center"/>
              <w:rPr>
                <w:rFonts w:ascii="Barlow" w:hAnsi="Barlow"/>
                <w:color w:val="2F5496" w:themeColor="accent1" w:themeShade="BF"/>
                <w:sz w:val="20"/>
              </w:rPr>
            </w:pPr>
          </w:p>
        </w:tc>
      </w:tr>
      <w:tr w:rsidR="00722F04" w:rsidRPr="00DB6AE2" w14:paraId="54E09FE4" w14:textId="77777777" w:rsidTr="00D80189">
        <w:trPr>
          <w:trHeight w:val="340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E2014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Comandante o Responsabile unico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60C1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 xml:space="preserve">Atto di nomina           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9C83" w14:textId="77777777" w:rsidR="00722F04" w:rsidRPr="00DB6AE2" w:rsidRDefault="00722F04">
            <w:pPr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239B" w14:textId="77777777" w:rsidR="00722F04" w:rsidRPr="00DB6AE2" w:rsidRDefault="00722F04">
            <w:pPr>
              <w:rPr>
                <w:rFonts w:ascii="Barlow" w:hAnsi="Barlow"/>
                <w:sz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DF3B" w14:textId="77777777" w:rsidR="00722F04" w:rsidRPr="00DB6AE2" w:rsidRDefault="00722F04">
            <w:pPr>
              <w:jc w:val="center"/>
              <w:rPr>
                <w:rFonts w:ascii="Barlow" w:hAnsi="Barlow"/>
                <w:color w:val="2F5496" w:themeColor="accent1" w:themeShade="BF"/>
                <w:sz w:val="20"/>
              </w:rPr>
            </w:pPr>
          </w:p>
        </w:tc>
      </w:tr>
      <w:tr w:rsidR="00722F04" w:rsidRPr="00DB6AE2" w14:paraId="4058D610" w14:textId="77777777" w:rsidTr="00D80189">
        <w:trPr>
          <w:trHeight w:val="397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D647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lastRenderedPageBreak/>
              <w:t>Conferimento del personale (con decorrenza entro l’anno se nuova funzione)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4394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Atti organizzativi (personale trasferito/</w:t>
            </w:r>
          </w:p>
          <w:p w14:paraId="680439D0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comandato)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D17C" w14:textId="77777777" w:rsidR="00722F04" w:rsidRPr="00DB6AE2" w:rsidRDefault="00722F04">
            <w:pPr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2B42" w14:textId="77777777" w:rsidR="00722F04" w:rsidRPr="00DB6AE2" w:rsidRDefault="00722F04">
            <w:pPr>
              <w:rPr>
                <w:rFonts w:ascii="Barlow" w:hAnsi="Barlow"/>
                <w:sz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5912" w14:textId="77777777" w:rsidR="00722F04" w:rsidRPr="00DB6AE2" w:rsidRDefault="00722F04">
            <w:pPr>
              <w:jc w:val="center"/>
              <w:rPr>
                <w:rFonts w:ascii="Barlow" w:hAnsi="Barlow"/>
                <w:color w:val="2F5496" w:themeColor="accent1" w:themeShade="BF"/>
                <w:sz w:val="20"/>
              </w:rPr>
            </w:pPr>
          </w:p>
        </w:tc>
      </w:tr>
      <w:tr w:rsidR="00722F04" w:rsidRPr="00DB6AE2" w14:paraId="640DED49" w14:textId="77777777" w:rsidTr="00D80189">
        <w:trPr>
          <w:trHeight w:val="397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0B71" w14:textId="77777777" w:rsidR="00722F04" w:rsidRPr="00DB6AE2" w:rsidRDefault="00722F04">
            <w:pPr>
              <w:widowControl w:val="0"/>
              <w:tabs>
                <w:tab w:val="left" w:pos="-1048"/>
              </w:tabs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Conferimento stanziamenti entrate/spese dai bilanci dei Comuni all’Unione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A98A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Entità degli stanziamenti conferiti nel Bilancio preventivo Unione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1BE0" w14:textId="77777777" w:rsidR="00722F04" w:rsidRPr="00DB6AE2" w:rsidRDefault="00722F04">
            <w:pPr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4D3E" w14:textId="77777777" w:rsidR="00722F04" w:rsidRPr="00DB6AE2" w:rsidRDefault="00722F04">
            <w:pPr>
              <w:rPr>
                <w:rFonts w:ascii="Barlow" w:hAnsi="Barlow"/>
                <w:sz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40CE" w14:textId="77777777" w:rsidR="00722F04" w:rsidRPr="00DB6AE2" w:rsidRDefault="00722F04">
            <w:pPr>
              <w:jc w:val="center"/>
              <w:rPr>
                <w:rFonts w:ascii="Barlow" w:hAnsi="Barlow"/>
                <w:color w:val="2F5496" w:themeColor="accent1" w:themeShade="BF"/>
                <w:sz w:val="20"/>
              </w:rPr>
            </w:pPr>
          </w:p>
        </w:tc>
      </w:tr>
      <w:tr w:rsidR="00722F04" w:rsidRPr="00DB6AE2" w14:paraId="44CBC9AA" w14:textId="77777777" w:rsidTr="00D80189">
        <w:trPr>
          <w:trHeight w:val="397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EA2E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Centrale unica operativa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A654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Atto organizzativo/ numero telefono Unione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A028" w14:textId="77777777" w:rsidR="00722F04" w:rsidRPr="00DB6AE2" w:rsidRDefault="00722F04">
            <w:pPr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0EDA" w14:textId="77777777" w:rsidR="00722F04" w:rsidRPr="00DB6AE2" w:rsidRDefault="00722F04">
            <w:pPr>
              <w:rPr>
                <w:rFonts w:ascii="Barlow" w:hAnsi="Barlow"/>
                <w:sz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7F63" w14:textId="77777777" w:rsidR="00722F04" w:rsidRPr="00DB6AE2" w:rsidRDefault="00722F04">
            <w:pPr>
              <w:jc w:val="center"/>
              <w:rPr>
                <w:rFonts w:ascii="Barlow" w:hAnsi="Barlow"/>
                <w:color w:val="2F5496" w:themeColor="accent1" w:themeShade="BF"/>
                <w:sz w:val="20"/>
              </w:rPr>
            </w:pPr>
          </w:p>
        </w:tc>
      </w:tr>
      <w:tr w:rsidR="00722F04" w:rsidRPr="00DB6AE2" w14:paraId="04246B86" w14:textId="77777777" w:rsidTr="00D80189">
        <w:trPr>
          <w:trHeight w:val="397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44A49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Gestione unica sanzioni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2AFF5" w14:textId="77777777" w:rsidR="00722F04" w:rsidRPr="00DB6AE2" w:rsidRDefault="00722F04">
            <w:pPr>
              <w:spacing w:after="0" w:line="245" w:lineRule="auto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Atto organizzativo gestione unica sanzioni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10E3" w14:textId="77777777" w:rsidR="00722F04" w:rsidRPr="00DB6AE2" w:rsidRDefault="00722F04">
            <w:pPr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A7DC" w14:textId="77777777" w:rsidR="00722F04" w:rsidRPr="00DB6AE2" w:rsidRDefault="00722F04">
            <w:pPr>
              <w:rPr>
                <w:rFonts w:ascii="Barlow" w:hAnsi="Barlow"/>
                <w:sz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8321" w14:textId="77777777" w:rsidR="00722F04" w:rsidRPr="00DB6AE2" w:rsidRDefault="00722F04">
            <w:pPr>
              <w:jc w:val="center"/>
              <w:rPr>
                <w:rFonts w:ascii="Barlow" w:hAnsi="Barlow"/>
                <w:color w:val="2F5496" w:themeColor="accent1" w:themeShade="BF"/>
                <w:sz w:val="20"/>
              </w:rPr>
            </w:pPr>
          </w:p>
        </w:tc>
      </w:tr>
      <w:tr w:rsidR="00722F04" w:rsidRPr="00DB6AE2" w14:paraId="03FB03FA" w14:textId="77777777" w:rsidTr="00D80189">
        <w:trPr>
          <w:trHeight w:val="397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0FE0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Programmazione unica dei servizi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EC4D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8556D">
              <w:rPr>
                <w:rFonts w:ascii="Barlow" w:hAnsi="Barlow"/>
              </w:rPr>
              <w:t xml:space="preserve">Atto programmatorio   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1D57" w14:textId="77777777" w:rsidR="00722F04" w:rsidRPr="00DB6AE2" w:rsidRDefault="00722F04">
            <w:pPr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6481" w14:textId="77777777" w:rsidR="00722F04" w:rsidRPr="00DB6AE2" w:rsidRDefault="00722F04">
            <w:pPr>
              <w:rPr>
                <w:rFonts w:ascii="Barlow" w:hAnsi="Barlow"/>
                <w:sz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70CB" w14:textId="77777777" w:rsidR="00722F04" w:rsidRPr="00DB6AE2" w:rsidRDefault="00722F04">
            <w:pPr>
              <w:jc w:val="center"/>
              <w:rPr>
                <w:rFonts w:ascii="Barlow" w:hAnsi="Barlow"/>
                <w:color w:val="2F5496" w:themeColor="accent1" w:themeShade="BF"/>
                <w:sz w:val="20"/>
              </w:rPr>
            </w:pPr>
          </w:p>
        </w:tc>
      </w:tr>
      <w:tr w:rsidR="00722F04" w:rsidRPr="00DB6AE2" w14:paraId="655D018C" w14:textId="77777777" w:rsidTr="00D80189">
        <w:trPr>
          <w:trHeight w:val="298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3455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Regolamento servizio/corpo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88A8" w14:textId="77777777" w:rsidR="00722F04" w:rsidRPr="00DB6AE2" w:rsidRDefault="00722F04">
            <w:pPr>
              <w:spacing w:after="0"/>
              <w:rPr>
                <w:rFonts w:ascii="Barlow" w:hAnsi="Barlow"/>
              </w:rPr>
            </w:pPr>
            <w:r w:rsidRPr="00D8556D">
              <w:rPr>
                <w:rFonts w:ascii="Barlow" w:hAnsi="Barlow"/>
              </w:rPr>
              <w:t xml:space="preserve">Atto amministrativo     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5E76" w14:textId="77777777" w:rsidR="00722F04" w:rsidRPr="00DB6AE2" w:rsidRDefault="00722F04">
            <w:pPr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AF01" w14:textId="77777777" w:rsidR="00722F04" w:rsidRPr="00DB6AE2" w:rsidRDefault="00722F04">
            <w:pPr>
              <w:rPr>
                <w:rFonts w:ascii="Barlow" w:hAnsi="Barlow"/>
                <w:sz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A6E9" w14:textId="77777777" w:rsidR="00722F04" w:rsidRPr="00DB6AE2" w:rsidRDefault="00722F04">
            <w:pPr>
              <w:jc w:val="center"/>
              <w:rPr>
                <w:rFonts w:ascii="Barlow" w:hAnsi="Barlow"/>
                <w:color w:val="2F5496" w:themeColor="accent1" w:themeShade="BF"/>
                <w:sz w:val="20"/>
              </w:rPr>
            </w:pPr>
          </w:p>
        </w:tc>
      </w:tr>
      <w:tr w:rsidR="00D80189" w:rsidRPr="00DB6AE2" w14:paraId="274228B1" w14:textId="77777777" w:rsidTr="00D80189"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14DF2" w14:textId="77777777" w:rsidR="00D80189" w:rsidRPr="00DB6AE2" w:rsidRDefault="00D80189" w:rsidP="00D80189">
            <w:pPr>
              <w:spacing w:after="0"/>
              <w:rPr>
                <w:rFonts w:ascii="Barlow" w:hAnsi="Barlow"/>
                <w:color w:val="2F5496" w:themeColor="accent1" w:themeShade="BF"/>
              </w:rPr>
            </w:pPr>
            <w:r w:rsidRPr="00DB6AE2">
              <w:rPr>
                <w:rFonts w:ascii="Barlow" w:hAnsi="Barlow"/>
                <w:b/>
                <w:bCs/>
                <w:color w:val="2F5496" w:themeColor="accent1" w:themeShade="BF"/>
                <w:szCs w:val="24"/>
              </w:rPr>
              <w:t>Azioni di consolidamento della funzione (livello avanzato)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6022" w14:textId="36E84A84" w:rsidR="00D80189" w:rsidRPr="00DB6AE2" w:rsidRDefault="00D80189" w:rsidP="00D80189">
            <w:pPr>
              <w:spacing w:after="0"/>
              <w:rPr>
                <w:rFonts w:ascii="Barlow" w:hAnsi="Barlow"/>
                <w:color w:val="2F5496" w:themeColor="accent1" w:themeShade="BF"/>
              </w:rPr>
            </w:pPr>
            <w:r w:rsidRPr="00DB6AE2">
              <w:rPr>
                <w:rFonts w:ascii="Barlow" w:hAnsi="Barlow"/>
                <w:b/>
                <w:bCs/>
                <w:color w:val="2F5496" w:themeColor="accent1" w:themeShade="BF"/>
                <w:sz w:val="20"/>
                <w:szCs w:val="20"/>
              </w:rPr>
              <w:t>Strumento di verifica di effettività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EE820F1" w14:textId="087F81D9" w:rsidR="00D80189" w:rsidRPr="00DB6AE2" w:rsidRDefault="00D80189" w:rsidP="00D80189">
            <w:pPr>
              <w:spacing w:after="0"/>
              <w:ind w:left="138"/>
              <w:rPr>
                <w:rFonts w:ascii="Barlow" w:hAnsi="Barlow"/>
                <w:color w:val="2F5496" w:themeColor="accent1" w:themeShade="BF"/>
              </w:rPr>
            </w:pPr>
            <w:r w:rsidRPr="00DB6AE2">
              <w:rPr>
                <w:rFonts w:ascii="Barlow" w:hAnsi="Barlow"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Indicazione estremi </w:t>
            </w:r>
            <w:r>
              <w:rPr>
                <w:rFonts w:ascii="Barlow" w:hAnsi="Barlow" w:cs="Times New Roman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  <w:r w:rsidRPr="00DB6AE2">
              <w:rPr>
                <w:rFonts w:ascii="Barlow" w:hAnsi="Barlow"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 link dell’atto </w:t>
            </w:r>
          </w:p>
        </w:tc>
        <w:tc>
          <w:tcPr>
            <w:tcW w:w="212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AA33" w14:textId="21859298" w:rsidR="00D80189" w:rsidRPr="00D8556D" w:rsidRDefault="00167FD8" w:rsidP="00D80189">
            <w:pPr>
              <w:spacing w:after="0"/>
              <w:jc w:val="center"/>
              <w:rPr>
                <w:rFonts w:ascii="Barlow" w:hAnsi="Barlow"/>
                <w:color w:val="2F5496" w:themeColor="accent1" w:themeShade="BF"/>
                <w:sz w:val="20"/>
                <w:szCs w:val="20"/>
              </w:rPr>
            </w:pPr>
            <w:r w:rsidRPr="00167FD8">
              <w:rPr>
                <w:rFonts w:ascii="Barlow" w:hAnsi="Barlow"/>
                <w:color w:val="2F5496" w:themeColor="accent1" w:themeShade="BF"/>
                <w:sz w:val="20"/>
                <w:szCs w:val="20"/>
              </w:rPr>
              <w:t>Ogni azione aggiunta equivale a % di punteggio più alta riconosciuta</w:t>
            </w:r>
          </w:p>
        </w:tc>
      </w:tr>
      <w:tr w:rsidR="00D80189" w:rsidRPr="003F7E6F" w14:paraId="40D0809E" w14:textId="77777777" w:rsidTr="00D80189">
        <w:trPr>
          <w:trHeight w:val="397"/>
        </w:trPr>
        <w:tc>
          <w:tcPr>
            <w:tcW w:w="6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FD0B0" w14:textId="45DFA9C2" w:rsidR="00D80189" w:rsidRPr="00DB6AE2" w:rsidRDefault="00D80189" w:rsidP="00D80189">
            <w:pPr>
              <w:widowControl w:val="0"/>
              <w:tabs>
                <w:tab w:val="left" w:pos="-3132"/>
              </w:tabs>
              <w:spacing w:before="120" w:after="120" w:line="240" w:lineRule="exact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Nuove strumentazioni tecniche e specifiche di proprietà o locazione dell’Unione</w:t>
            </w:r>
            <w:r>
              <w:rPr>
                <w:rFonts w:ascii="Barlow" w:hAnsi="Barlow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C73A" w14:textId="77777777" w:rsidR="00D80189" w:rsidRPr="00DB6AE2" w:rsidRDefault="00D80189" w:rsidP="00D80189">
            <w:pPr>
              <w:spacing w:before="120" w:after="120"/>
              <w:rPr>
                <w:rFonts w:ascii="Barlow" w:hAnsi="Barlow"/>
              </w:rPr>
            </w:pPr>
            <w:r w:rsidRPr="00DB6AE2">
              <w:rPr>
                <w:rFonts w:ascii="Barlow" w:hAnsi="Barlow"/>
                <w:szCs w:val="24"/>
              </w:rPr>
              <w:t xml:space="preserve">Atto organizzativo    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ED5D" w14:textId="77777777" w:rsidR="00D80189" w:rsidRPr="00DB6AE2" w:rsidRDefault="00D80189" w:rsidP="00D80189">
            <w:pPr>
              <w:spacing w:before="120" w:after="120"/>
              <w:rPr>
                <w:rFonts w:ascii="Barlow" w:hAnsi="Barlow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D4D7" w14:textId="77777777" w:rsidR="00D80189" w:rsidRPr="00DB6AE2" w:rsidRDefault="00D80189" w:rsidP="00D80189">
            <w:pPr>
              <w:spacing w:before="120" w:after="120" w:line="245" w:lineRule="auto"/>
              <w:jc w:val="center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5%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w Cen MT" w:hAnsi="Tw Cen MT" w:cs="Times New Roman"/>
                <w:color w:val="2F5496" w:themeColor="accent1" w:themeShade="BF"/>
                <w:sz w:val="32"/>
                <w:szCs w:val="20"/>
                <w:shd w:val="clear" w:color="auto" w:fill="E6E6E6"/>
              </w:rPr>
              <w:id w:val="1397156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szCs w:val="32"/>
              </w:rPr>
            </w:sdtEndPr>
            <w:sdtContent>
              <w:p w14:paraId="1C9FFD98" w14:textId="77777777" w:rsidR="00D80189" w:rsidRPr="003F7E6F" w:rsidRDefault="00D80189" w:rsidP="00D80189">
                <w:pPr>
                  <w:spacing w:before="120" w:after="120" w:line="245" w:lineRule="auto"/>
                  <w:jc w:val="center"/>
                  <w:rPr>
                    <w:rFonts w:ascii="Tw Cen MT" w:hAnsi="Tw Cen MT"/>
                    <w:color w:val="2F5496" w:themeColor="accent1" w:themeShade="BF"/>
                    <w:sz w:val="18"/>
                  </w:rPr>
                </w:pPr>
                <w:r w:rsidRPr="003F7E6F">
                  <w:rPr>
                    <w:rFonts w:ascii="Segoe UI Symbol" w:eastAsia="MS Gothic" w:hAnsi="Segoe UI Symbol" w:cs="Segoe UI Symbol"/>
                    <w:color w:val="2F5496" w:themeColor="accent1" w:themeShade="BF"/>
                    <w:sz w:val="32"/>
                    <w:szCs w:val="20"/>
                  </w:rPr>
                  <w:t>☐</w:t>
                </w:r>
              </w:p>
            </w:sdtContent>
          </w:sdt>
        </w:tc>
      </w:tr>
      <w:tr w:rsidR="00D80189" w:rsidRPr="003F7E6F" w14:paraId="09F12041" w14:textId="77777777" w:rsidTr="00D80189">
        <w:trPr>
          <w:trHeight w:val="397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036B" w14:textId="77777777" w:rsidR="00D80189" w:rsidRPr="00DB6AE2" w:rsidRDefault="00D80189" w:rsidP="00D80189">
            <w:pPr>
              <w:widowControl w:val="0"/>
              <w:tabs>
                <w:tab w:val="left" w:pos="-3132"/>
              </w:tabs>
              <w:spacing w:before="120" w:after="120" w:line="240" w:lineRule="exact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Omogeneizzazioni Regolamento comunale di polizia urbana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E76E" w14:textId="77777777" w:rsidR="00D80189" w:rsidRPr="00DB6AE2" w:rsidRDefault="00D80189" w:rsidP="00D80189">
            <w:pPr>
              <w:spacing w:before="120" w:after="120"/>
              <w:rPr>
                <w:rFonts w:ascii="Barlow" w:hAnsi="Barlow"/>
                <w:szCs w:val="24"/>
              </w:rPr>
            </w:pPr>
            <w:r w:rsidRPr="00DB6AE2">
              <w:rPr>
                <w:rFonts w:ascii="Barlow" w:hAnsi="Barlow"/>
                <w:szCs w:val="24"/>
              </w:rPr>
              <w:t xml:space="preserve">Atti dei consigli        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2C58" w14:textId="77777777" w:rsidR="00D80189" w:rsidRPr="00DB6AE2" w:rsidRDefault="00D80189" w:rsidP="00D80189">
            <w:pPr>
              <w:spacing w:before="120" w:after="120"/>
              <w:rPr>
                <w:rFonts w:ascii="Barlow" w:hAnsi="Barlow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5E12" w14:textId="77777777" w:rsidR="00D80189" w:rsidRDefault="00D80189" w:rsidP="00D80189">
            <w:pPr>
              <w:spacing w:before="120" w:after="120" w:line="245" w:lineRule="auto"/>
              <w:jc w:val="center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15%</w:t>
            </w:r>
          </w:p>
          <w:p w14:paraId="60570D73" w14:textId="26B97CB0" w:rsidR="00D80189" w:rsidRPr="00DB6AE2" w:rsidRDefault="00D80189" w:rsidP="00D80189">
            <w:pPr>
              <w:spacing w:before="120" w:after="120" w:line="245" w:lineRule="auto"/>
              <w:jc w:val="center"/>
              <w:rPr>
                <w:rFonts w:ascii="Barlow" w:hAnsi="Barlow"/>
              </w:rPr>
            </w:pPr>
          </w:p>
        </w:tc>
        <w:tc>
          <w:tcPr>
            <w:tcW w:w="7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w Cen MT" w:hAnsi="Tw Cen MT" w:cs="Times New Roman"/>
                <w:color w:val="2F5496" w:themeColor="accent1" w:themeShade="BF"/>
                <w:sz w:val="32"/>
                <w:szCs w:val="20"/>
                <w:shd w:val="clear" w:color="auto" w:fill="E6E6E6"/>
              </w:rPr>
              <w:id w:val="-29737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szCs w:val="32"/>
              </w:rPr>
            </w:sdtEndPr>
            <w:sdtContent>
              <w:p w14:paraId="06ABDAAF" w14:textId="77777777" w:rsidR="00D80189" w:rsidRPr="003F7E6F" w:rsidRDefault="00D80189" w:rsidP="00D80189">
                <w:pPr>
                  <w:spacing w:before="120" w:after="120" w:line="245" w:lineRule="auto"/>
                  <w:jc w:val="center"/>
                  <w:rPr>
                    <w:rFonts w:ascii="Tw Cen MT" w:hAnsi="Tw Cen MT"/>
                    <w:color w:val="2F5496" w:themeColor="accent1" w:themeShade="BF"/>
                    <w:sz w:val="18"/>
                  </w:rPr>
                </w:pPr>
                <w:r w:rsidRPr="003F7E6F">
                  <w:rPr>
                    <w:rFonts w:ascii="Segoe UI Symbol" w:eastAsia="MS Gothic" w:hAnsi="Segoe UI Symbol" w:cs="Segoe UI Symbol"/>
                    <w:color w:val="2F5496" w:themeColor="accent1" w:themeShade="BF"/>
                    <w:sz w:val="32"/>
                    <w:szCs w:val="20"/>
                  </w:rPr>
                  <w:t>☐</w:t>
                </w:r>
              </w:p>
            </w:sdtContent>
          </w:sdt>
        </w:tc>
      </w:tr>
      <w:tr w:rsidR="00D80189" w:rsidRPr="003F7E6F" w14:paraId="695E094F" w14:textId="77777777" w:rsidTr="00D80189">
        <w:trPr>
          <w:trHeight w:val="397"/>
        </w:trPr>
        <w:tc>
          <w:tcPr>
            <w:tcW w:w="6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0554" w14:textId="121E4E08" w:rsidR="00D80189" w:rsidRPr="006659D0" w:rsidRDefault="00D80189" w:rsidP="00D80189">
            <w:pPr>
              <w:spacing w:before="120" w:after="120" w:line="240" w:lineRule="exact"/>
            </w:pPr>
            <w:r w:rsidRPr="00D8556D">
              <w:rPr>
                <w:rFonts w:ascii="Barlow" w:hAnsi="Barlow"/>
              </w:rPr>
              <w:t>Gestione della comunicazione digitale tra gli organi di polizia locale e i cittadini mediante</w:t>
            </w:r>
            <w:r>
              <w:rPr>
                <w:rFonts w:ascii="Barlow" w:hAnsi="Barlow"/>
              </w:rPr>
              <w:t xml:space="preserve"> </w:t>
            </w:r>
            <w:r w:rsidRPr="00D8556D">
              <w:rPr>
                <w:rFonts w:ascii="Barlow" w:hAnsi="Barlow"/>
              </w:rPr>
              <w:t>sito web</w:t>
            </w:r>
            <w:r w:rsidRPr="00396ECD">
              <w:t xml:space="preserve"> 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7091" w14:textId="77777777" w:rsidR="00D80189" w:rsidRDefault="00D80189" w:rsidP="00D80189">
            <w:pPr>
              <w:spacing w:before="120" w:after="120"/>
              <w:rPr>
                <w:rFonts w:ascii="Barlow" w:hAnsi="Barlow"/>
                <w:szCs w:val="24"/>
              </w:rPr>
            </w:pPr>
            <w:r w:rsidRPr="00DB6AE2">
              <w:rPr>
                <w:rFonts w:ascii="Barlow" w:hAnsi="Barlow"/>
                <w:szCs w:val="24"/>
              </w:rPr>
              <w:t>Atto organizzativo</w:t>
            </w:r>
          </w:p>
          <w:p w14:paraId="782C2554" w14:textId="0DBDF81B" w:rsidR="00D80189" w:rsidRPr="00DB6AE2" w:rsidRDefault="00D80189" w:rsidP="00D80189">
            <w:pPr>
              <w:spacing w:before="120" w:after="120"/>
              <w:rPr>
                <w:rFonts w:ascii="Barlow" w:hAnsi="Barlow"/>
              </w:rPr>
            </w:pPr>
            <w:r w:rsidRPr="4A94E73E">
              <w:rPr>
                <w:rFonts w:ascii="Barlow" w:hAnsi="Barlow"/>
              </w:rPr>
              <w:t>Link al sito web   e ultima data di aggiornamento</w:t>
            </w:r>
            <w:r>
              <w:rPr>
                <w:rFonts w:ascii="Barlow" w:hAnsi="Barlow"/>
              </w:rPr>
              <w:t xml:space="preserve"> entro 24 mesi dalla data di presentazione della domanda)</w:t>
            </w:r>
            <w:r w:rsidRPr="4A94E73E">
              <w:rPr>
                <w:rFonts w:ascii="Barlow" w:hAnsi="Barlow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021A" w14:textId="77777777" w:rsidR="00D80189" w:rsidRPr="00DB6AE2" w:rsidRDefault="00D80189" w:rsidP="00D80189">
            <w:pPr>
              <w:spacing w:before="120" w:after="120"/>
              <w:rPr>
                <w:rFonts w:ascii="Barlow" w:hAnsi="Barlow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ABC6" w14:textId="1B7CC340" w:rsidR="00D80189" w:rsidRDefault="00D80189" w:rsidP="00D80189">
            <w:pPr>
              <w:spacing w:before="120" w:after="120" w:line="245" w:lineRule="auto"/>
              <w:jc w:val="center"/>
              <w:rPr>
                <w:rFonts w:ascii="Barlow" w:hAnsi="Barlow"/>
              </w:rPr>
            </w:pPr>
            <w:r>
              <w:rPr>
                <w:rFonts w:ascii="Barlow" w:hAnsi="Barlow"/>
              </w:rPr>
              <w:t>7%</w:t>
            </w:r>
          </w:p>
          <w:p w14:paraId="4BDA704B" w14:textId="42292783" w:rsidR="00D80189" w:rsidRPr="00DB6AE2" w:rsidRDefault="00D80189" w:rsidP="00D80189">
            <w:pPr>
              <w:spacing w:before="120" w:after="120" w:line="245" w:lineRule="auto"/>
              <w:jc w:val="center"/>
              <w:rPr>
                <w:rFonts w:ascii="Barlow" w:hAnsi="Barlow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w Cen MT" w:hAnsi="Tw Cen MT" w:cs="Times New Roman"/>
                <w:color w:val="2F5496" w:themeColor="accent1" w:themeShade="BF"/>
                <w:sz w:val="32"/>
                <w:szCs w:val="20"/>
              </w:rPr>
              <w:id w:val="-125720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szCs w:val="32"/>
              </w:rPr>
            </w:sdtEndPr>
            <w:sdtContent>
              <w:p w14:paraId="1612C6B7" w14:textId="1BFF2055" w:rsidR="00D80189" w:rsidRPr="003F7E6F" w:rsidRDefault="00D80189" w:rsidP="00D80189">
                <w:pPr>
                  <w:spacing w:before="120" w:after="120" w:line="245" w:lineRule="auto"/>
                  <w:jc w:val="center"/>
                  <w:rPr>
                    <w:rFonts w:ascii="Tw Cen MT" w:hAnsi="Tw Cen MT"/>
                    <w:color w:val="2F5496" w:themeColor="accent1" w:themeShade="BF"/>
                    <w:sz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2F5496" w:themeColor="accent1" w:themeShade="BF"/>
                    <w:sz w:val="32"/>
                    <w:szCs w:val="20"/>
                  </w:rPr>
                  <w:t>☐</w:t>
                </w:r>
              </w:p>
            </w:sdtContent>
          </w:sdt>
        </w:tc>
      </w:tr>
      <w:tr w:rsidR="00D80189" w:rsidRPr="003F7E6F" w14:paraId="505A159D" w14:textId="77777777" w:rsidTr="00D80189">
        <w:trPr>
          <w:trHeight w:val="990"/>
        </w:trPr>
        <w:tc>
          <w:tcPr>
            <w:tcW w:w="6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DC60" w14:textId="328F5E9D" w:rsidR="00D80189" w:rsidRPr="00D8556D" w:rsidRDefault="00D80189" w:rsidP="00D80189">
            <w:pPr>
              <w:spacing w:before="120" w:after="120" w:line="240" w:lineRule="exact"/>
              <w:rPr>
                <w:rFonts w:ascii="Barlow" w:hAnsi="Barlow"/>
              </w:rPr>
            </w:pPr>
            <w:r w:rsidRPr="4A94E73E">
              <w:rPr>
                <w:rFonts w:ascii="Barlow" w:hAnsi="Barlow"/>
              </w:rPr>
              <w:t>Gestione della comunicazione digitale tra gli organi di polizia locale e i cittadini mediante</w:t>
            </w:r>
            <w:r>
              <w:rPr>
                <w:rFonts w:ascii="Barlow" w:hAnsi="Barlow"/>
              </w:rPr>
              <w:t xml:space="preserve"> </w:t>
            </w:r>
            <w:r w:rsidRPr="00D8556D">
              <w:rPr>
                <w:rFonts w:ascii="Barlow" w:hAnsi="Barlow"/>
              </w:rPr>
              <w:t>canali social per la gestione della relazione con la cittadinanza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B6712" w14:textId="77777777" w:rsidR="00D80189" w:rsidRDefault="00D80189" w:rsidP="00D80189">
            <w:pPr>
              <w:spacing w:before="120" w:after="120"/>
              <w:rPr>
                <w:rFonts w:ascii="Barlow" w:hAnsi="Barlow"/>
                <w:szCs w:val="24"/>
              </w:rPr>
            </w:pPr>
            <w:r w:rsidRPr="00DB6AE2">
              <w:rPr>
                <w:rFonts w:ascii="Barlow" w:hAnsi="Barlow"/>
                <w:szCs w:val="24"/>
              </w:rPr>
              <w:t>Atto organizzativo</w:t>
            </w:r>
          </w:p>
          <w:p w14:paraId="70F03539" w14:textId="01929CFE" w:rsidR="00D80189" w:rsidRPr="00DB6AE2" w:rsidRDefault="00D80189" w:rsidP="00D80189">
            <w:pPr>
              <w:spacing w:before="120" w:after="120"/>
              <w:rPr>
                <w:rFonts w:ascii="Barlow" w:hAnsi="Barlow"/>
              </w:rPr>
            </w:pPr>
            <w:r w:rsidRPr="4A94E73E">
              <w:rPr>
                <w:rFonts w:ascii="Barlow" w:hAnsi="Barlow"/>
              </w:rPr>
              <w:lastRenderedPageBreak/>
              <w:t>Link ai canali social e data degli ultimi post</w:t>
            </w:r>
            <w:r>
              <w:rPr>
                <w:rFonts w:ascii="Barlow" w:hAnsi="Barlow"/>
              </w:rPr>
              <w:t xml:space="preserve"> entro 12 mesi dalla data di presentazione della domanda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D08E" w14:textId="77777777" w:rsidR="00D80189" w:rsidRPr="00DB6AE2" w:rsidRDefault="00D80189" w:rsidP="00D80189">
            <w:pPr>
              <w:spacing w:before="120" w:after="120"/>
              <w:rPr>
                <w:rFonts w:ascii="Barlow" w:hAnsi="Barlow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B360" w14:textId="1F3D8735" w:rsidR="00D80189" w:rsidRDefault="00D80189" w:rsidP="00D80189">
            <w:pPr>
              <w:spacing w:before="120" w:after="120" w:line="245" w:lineRule="auto"/>
              <w:jc w:val="center"/>
              <w:rPr>
                <w:rFonts w:ascii="Barlow" w:hAnsi="Barlow"/>
              </w:rPr>
            </w:pPr>
            <w:r>
              <w:rPr>
                <w:rFonts w:ascii="Barlow" w:hAnsi="Barlow"/>
              </w:rPr>
              <w:t>3%</w:t>
            </w:r>
          </w:p>
        </w:tc>
        <w:sdt>
          <w:sdtPr>
            <w:rPr>
              <w:rFonts w:ascii="Tw Cen MT" w:hAnsi="Tw Cen MT" w:cs="Times New Roman"/>
              <w:color w:val="2F5496" w:themeColor="accent1" w:themeShade="BF"/>
              <w:sz w:val="32"/>
              <w:szCs w:val="20"/>
            </w:rPr>
            <w:id w:val="-196980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zCs w:val="32"/>
            </w:rPr>
          </w:sdtEndPr>
          <w:sdtContent>
            <w:tc>
              <w:tcPr>
                <w:tcW w:w="70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1412C29" w14:textId="1A25A8C4" w:rsidR="00D80189" w:rsidRDefault="00D80189" w:rsidP="00D80189">
                <w:r w:rsidRPr="4A94E73E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D80189" w:rsidRPr="003F7E6F" w14:paraId="6B28BF60" w14:textId="77777777" w:rsidTr="00D80189">
        <w:trPr>
          <w:trHeight w:val="397"/>
        </w:trPr>
        <w:tc>
          <w:tcPr>
            <w:tcW w:w="6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09B1" w14:textId="3669BD43" w:rsidR="00D80189" w:rsidRPr="00DB6AE2" w:rsidRDefault="00D80189" w:rsidP="00D80189">
            <w:pPr>
              <w:widowControl w:val="0"/>
              <w:tabs>
                <w:tab w:val="left" w:pos="-3132"/>
              </w:tabs>
              <w:spacing w:before="120" w:after="120" w:line="240" w:lineRule="exact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Gestione in capo all’Unione delle convenzioni e rapporti con le Associazioni di Volontariato della sicurezza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BE03" w14:textId="7A3BF0E3" w:rsidR="00D80189" w:rsidRPr="00C10E56" w:rsidRDefault="00D80189" w:rsidP="00D80189">
            <w:pPr>
              <w:spacing w:before="120" w:after="120"/>
              <w:rPr>
                <w:rFonts w:ascii="Barlow" w:hAnsi="Barlow"/>
                <w:szCs w:val="24"/>
              </w:rPr>
            </w:pPr>
            <w:r w:rsidRPr="00DB6AE2">
              <w:rPr>
                <w:rFonts w:ascii="Barlow" w:hAnsi="Barlow"/>
                <w:szCs w:val="24"/>
              </w:rPr>
              <w:t xml:space="preserve">Convenzioni            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7CD1" w14:textId="77777777" w:rsidR="00D80189" w:rsidRPr="00DB6AE2" w:rsidRDefault="00D80189" w:rsidP="00D80189">
            <w:pPr>
              <w:spacing w:before="120" w:after="120"/>
              <w:rPr>
                <w:rFonts w:ascii="Barlow" w:hAnsi="Barlow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1DFE" w14:textId="77777777" w:rsidR="00D80189" w:rsidRPr="00DB6AE2" w:rsidRDefault="00D80189" w:rsidP="00D80189">
            <w:pPr>
              <w:spacing w:before="120" w:after="120" w:line="245" w:lineRule="auto"/>
              <w:jc w:val="center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10%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w Cen MT" w:hAnsi="Tw Cen MT" w:cs="Times New Roman"/>
                <w:color w:val="2F5496" w:themeColor="accent1" w:themeShade="BF"/>
                <w:sz w:val="32"/>
                <w:szCs w:val="20"/>
              </w:rPr>
              <w:id w:val="2134516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szCs w:val="32"/>
              </w:rPr>
            </w:sdtEndPr>
            <w:sdtContent>
              <w:p w14:paraId="2476585D" w14:textId="0836858E" w:rsidR="00D80189" w:rsidRPr="003F7E6F" w:rsidRDefault="00D80189" w:rsidP="00D80189">
                <w:pPr>
                  <w:spacing w:before="120" w:after="120" w:line="245" w:lineRule="auto"/>
                  <w:jc w:val="center"/>
                  <w:rPr>
                    <w:rFonts w:ascii="Tw Cen MT" w:hAnsi="Tw Cen MT"/>
                    <w:color w:val="2F5496" w:themeColor="accent1" w:themeShade="BF"/>
                    <w:sz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2F5496" w:themeColor="accent1" w:themeShade="BF"/>
                    <w:sz w:val="32"/>
                    <w:szCs w:val="20"/>
                  </w:rPr>
                  <w:t>☐</w:t>
                </w:r>
              </w:p>
            </w:sdtContent>
          </w:sdt>
        </w:tc>
      </w:tr>
      <w:tr w:rsidR="00D80189" w:rsidRPr="003F7E6F" w14:paraId="6BD44C1B" w14:textId="77777777" w:rsidTr="00D80189">
        <w:trPr>
          <w:trHeight w:val="397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ACAE" w14:textId="77777777" w:rsidR="00D80189" w:rsidRPr="00DB6AE2" w:rsidRDefault="00D80189" w:rsidP="00D80189">
            <w:pPr>
              <w:widowControl w:val="0"/>
              <w:tabs>
                <w:tab w:val="left" w:pos="-3132"/>
              </w:tabs>
              <w:spacing w:before="120" w:after="120" w:line="240" w:lineRule="exact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Gestione centralizzata dei sistemi di videosorveglianza cittadina</w:t>
            </w: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4AC8" w14:textId="77777777" w:rsidR="00D80189" w:rsidRPr="00DB6AE2" w:rsidRDefault="00D80189" w:rsidP="00D80189">
            <w:pPr>
              <w:spacing w:before="120" w:after="120"/>
              <w:rPr>
                <w:rFonts w:ascii="Barlow" w:hAnsi="Barlow"/>
              </w:rPr>
            </w:pPr>
            <w:r w:rsidRPr="00DB6AE2">
              <w:rPr>
                <w:rFonts w:ascii="Barlow" w:hAnsi="Barlow"/>
                <w:szCs w:val="24"/>
              </w:rPr>
              <w:t xml:space="preserve">Atto organizzativo    </w:t>
            </w: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9DA4" w14:textId="77777777" w:rsidR="00D80189" w:rsidRPr="00DB6AE2" w:rsidRDefault="00D80189" w:rsidP="00D80189">
            <w:pPr>
              <w:spacing w:before="120" w:after="120"/>
              <w:rPr>
                <w:rFonts w:ascii="Barlow" w:hAnsi="Barlow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8541" w14:textId="77777777" w:rsidR="00D80189" w:rsidRPr="00DB6AE2" w:rsidRDefault="00D80189" w:rsidP="00D80189">
            <w:pPr>
              <w:spacing w:before="120" w:after="120" w:line="245" w:lineRule="auto"/>
              <w:jc w:val="center"/>
              <w:rPr>
                <w:rFonts w:ascii="Barlow" w:hAnsi="Barlow"/>
              </w:rPr>
            </w:pPr>
            <w:r w:rsidRPr="00DB6AE2">
              <w:rPr>
                <w:rFonts w:ascii="Barlow" w:hAnsi="Barlow"/>
              </w:rPr>
              <w:t>10%</w:t>
            </w:r>
          </w:p>
        </w:tc>
        <w:tc>
          <w:tcPr>
            <w:tcW w:w="7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w Cen MT" w:hAnsi="Tw Cen MT" w:cs="Times New Roman"/>
                <w:color w:val="2F5496" w:themeColor="accent1" w:themeShade="BF"/>
                <w:sz w:val="32"/>
                <w:szCs w:val="20"/>
                <w:shd w:val="clear" w:color="auto" w:fill="E6E6E6"/>
              </w:rPr>
              <w:id w:val="74794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szCs w:val="32"/>
              </w:rPr>
            </w:sdtEndPr>
            <w:sdtContent>
              <w:p w14:paraId="3F0CDF03" w14:textId="77777777" w:rsidR="00D80189" w:rsidRPr="003F7E6F" w:rsidRDefault="00D80189" w:rsidP="00D80189">
                <w:pPr>
                  <w:spacing w:before="120" w:after="120" w:line="245" w:lineRule="auto"/>
                  <w:jc w:val="center"/>
                  <w:rPr>
                    <w:rFonts w:ascii="Tw Cen MT" w:hAnsi="Tw Cen MT"/>
                    <w:color w:val="2F5496" w:themeColor="accent1" w:themeShade="BF"/>
                    <w:sz w:val="18"/>
                  </w:rPr>
                </w:pPr>
                <w:r w:rsidRPr="003F7E6F">
                  <w:rPr>
                    <w:rFonts w:ascii="Segoe UI Symbol" w:eastAsia="MS Gothic" w:hAnsi="Segoe UI Symbol" w:cs="Segoe UI Symbol"/>
                    <w:color w:val="2F5496" w:themeColor="accent1" w:themeShade="BF"/>
                    <w:sz w:val="32"/>
                    <w:szCs w:val="20"/>
                  </w:rPr>
                  <w:t>☐</w:t>
                </w:r>
              </w:p>
            </w:sdtContent>
          </w:sdt>
        </w:tc>
      </w:tr>
      <w:tr w:rsidR="00D80189" w:rsidRPr="003F7E6F" w14:paraId="64A4C5FA" w14:textId="77777777" w:rsidTr="00D80189">
        <w:trPr>
          <w:trHeight w:val="397"/>
        </w:trPr>
        <w:tc>
          <w:tcPr>
            <w:tcW w:w="69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95BA" w14:textId="77777777" w:rsidR="00D80189" w:rsidRPr="00DB6AE2" w:rsidRDefault="00D80189" w:rsidP="00D80189">
            <w:pPr>
              <w:widowControl w:val="0"/>
              <w:tabs>
                <w:tab w:val="left" w:pos="-3132"/>
              </w:tabs>
              <w:spacing w:before="120" w:after="120" w:line="240" w:lineRule="exact"/>
              <w:rPr>
                <w:rFonts w:ascii="Barlow" w:hAnsi="Barlow"/>
              </w:rPr>
            </w:pPr>
          </w:p>
        </w:tc>
        <w:tc>
          <w:tcPr>
            <w:tcW w:w="27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EC65" w14:textId="77777777" w:rsidR="00D80189" w:rsidRPr="00DB6AE2" w:rsidRDefault="00D80189" w:rsidP="00D80189">
            <w:pPr>
              <w:spacing w:before="120" w:after="120"/>
              <w:rPr>
                <w:rFonts w:ascii="Barlow" w:hAnsi="Barlow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A0C8" w14:textId="77777777" w:rsidR="00D80189" w:rsidRPr="00DB6AE2" w:rsidRDefault="00D80189" w:rsidP="00D80189">
            <w:pPr>
              <w:spacing w:before="120" w:after="120"/>
              <w:rPr>
                <w:rFonts w:ascii="Barlow" w:hAnsi="Barlow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D412" w14:textId="11433AB4" w:rsidR="00D80189" w:rsidRPr="00DB6AE2" w:rsidRDefault="00FE22AF" w:rsidP="00D80189">
            <w:pPr>
              <w:spacing w:before="120" w:after="120" w:line="245" w:lineRule="auto"/>
              <w:jc w:val="center"/>
              <w:rPr>
                <w:rFonts w:ascii="Barlow" w:hAnsi="Barlow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Totale</w:t>
            </w:r>
            <w:r>
              <w:rPr>
                <w:rFonts w:ascii="Barlow" w:eastAsia="Times New Roman" w:hAnsi="Barlow" w:cs="Segoe UI"/>
                <w:lang w:eastAsia="it-IT"/>
              </w:rPr>
              <w:t xml:space="preserve"> </w:t>
            </w:r>
            <w:r w:rsidRPr="0092626C">
              <w:rPr>
                <w:rFonts w:ascii="Barlow" w:eastAsia="Times New Roman" w:hAnsi="Barlow" w:cs="Segoe UI"/>
                <w:lang w:eastAsia="it-IT"/>
              </w:rPr>
              <w:t>100% punteggio</w:t>
            </w:r>
          </w:p>
        </w:tc>
        <w:tc>
          <w:tcPr>
            <w:tcW w:w="7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B850" w14:textId="77777777" w:rsidR="00D80189" w:rsidRPr="003F7E6F" w:rsidRDefault="00D80189" w:rsidP="00D80189">
            <w:pPr>
              <w:spacing w:before="120" w:after="120" w:line="245" w:lineRule="auto"/>
              <w:jc w:val="center"/>
              <w:rPr>
                <w:rFonts w:ascii="Tw Cen MT" w:hAnsi="Tw Cen MT" w:cs="Times New Roman"/>
                <w:color w:val="2F5496" w:themeColor="accent1" w:themeShade="BF"/>
                <w:sz w:val="32"/>
                <w:szCs w:val="20"/>
              </w:rPr>
            </w:pPr>
          </w:p>
        </w:tc>
      </w:tr>
    </w:tbl>
    <w:p w14:paraId="7FE20DE5" w14:textId="77777777" w:rsidR="00722F04" w:rsidRDefault="00722F04"/>
    <w:sectPr w:rsidR="00722F04" w:rsidSect="00217B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 Semi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938AC"/>
    <w:multiLevelType w:val="hybridMultilevel"/>
    <w:tmpl w:val="6AE42976"/>
    <w:lvl w:ilvl="0" w:tplc="B3ECD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50054"/>
    <w:multiLevelType w:val="hybridMultilevel"/>
    <w:tmpl w:val="989AF4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E0FAC"/>
    <w:multiLevelType w:val="hybridMultilevel"/>
    <w:tmpl w:val="AAD08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0225"/>
    <w:multiLevelType w:val="hybridMultilevel"/>
    <w:tmpl w:val="3EDAB62C"/>
    <w:lvl w:ilvl="0" w:tplc="3F900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17770"/>
    <w:multiLevelType w:val="hybridMultilevel"/>
    <w:tmpl w:val="C9BA9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B2F16"/>
    <w:multiLevelType w:val="hybridMultilevel"/>
    <w:tmpl w:val="E90E74BA"/>
    <w:lvl w:ilvl="0" w:tplc="B9B6259A">
      <w:numFmt w:val="bullet"/>
      <w:lvlText w:val="-"/>
      <w:lvlJc w:val="left"/>
      <w:pPr>
        <w:ind w:left="720" w:hanging="360"/>
      </w:pPr>
      <w:rPr>
        <w:rFonts w:ascii="Barlow" w:eastAsiaTheme="minorHAnsi" w:hAnsi="Barl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4BAD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30919627">
    <w:abstractNumId w:val="6"/>
  </w:num>
  <w:num w:numId="2" w16cid:durableId="1940723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384582">
    <w:abstractNumId w:val="4"/>
  </w:num>
  <w:num w:numId="4" w16cid:durableId="1729382106">
    <w:abstractNumId w:val="2"/>
  </w:num>
  <w:num w:numId="5" w16cid:durableId="1691687172">
    <w:abstractNumId w:val="0"/>
  </w:num>
  <w:num w:numId="6" w16cid:durableId="687605467">
    <w:abstractNumId w:val="3"/>
  </w:num>
  <w:num w:numId="7" w16cid:durableId="1808889224">
    <w:abstractNumId w:val="1"/>
  </w:num>
  <w:num w:numId="8" w16cid:durableId="1628119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1C"/>
    <w:rsid w:val="000104C9"/>
    <w:rsid w:val="000779DF"/>
    <w:rsid w:val="0008554E"/>
    <w:rsid w:val="000926B9"/>
    <w:rsid w:val="00095635"/>
    <w:rsid w:val="00105727"/>
    <w:rsid w:val="00111628"/>
    <w:rsid w:val="00137EF1"/>
    <w:rsid w:val="00167FD8"/>
    <w:rsid w:val="001C5420"/>
    <w:rsid w:val="00217BA7"/>
    <w:rsid w:val="00262202"/>
    <w:rsid w:val="002B42FF"/>
    <w:rsid w:val="00364A8B"/>
    <w:rsid w:val="00396ECD"/>
    <w:rsid w:val="003B021C"/>
    <w:rsid w:val="00411C87"/>
    <w:rsid w:val="00451691"/>
    <w:rsid w:val="004709CA"/>
    <w:rsid w:val="00540FB8"/>
    <w:rsid w:val="00557BB5"/>
    <w:rsid w:val="0057041D"/>
    <w:rsid w:val="0057102F"/>
    <w:rsid w:val="00577DC4"/>
    <w:rsid w:val="005917A0"/>
    <w:rsid w:val="005D14E1"/>
    <w:rsid w:val="005F2AE7"/>
    <w:rsid w:val="0066380B"/>
    <w:rsid w:val="006659D0"/>
    <w:rsid w:val="0068287E"/>
    <w:rsid w:val="006A7789"/>
    <w:rsid w:val="006D4158"/>
    <w:rsid w:val="00722F04"/>
    <w:rsid w:val="00745DB4"/>
    <w:rsid w:val="007F56CF"/>
    <w:rsid w:val="007F5BDC"/>
    <w:rsid w:val="00832B7F"/>
    <w:rsid w:val="008346C4"/>
    <w:rsid w:val="0085309F"/>
    <w:rsid w:val="00876983"/>
    <w:rsid w:val="00880A0E"/>
    <w:rsid w:val="0088353D"/>
    <w:rsid w:val="008E01D6"/>
    <w:rsid w:val="009321DE"/>
    <w:rsid w:val="00957293"/>
    <w:rsid w:val="00957E39"/>
    <w:rsid w:val="009619CC"/>
    <w:rsid w:val="009E29E2"/>
    <w:rsid w:val="009E3719"/>
    <w:rsid w:val="00A023CF"/>
    <w:rsid w:val="00A83B72"/>
    <w:rsid w:val="00B01236"/>
    <w:rsid w:val="00B360BE"/>
    <w:rsid w:val="00BB3C77"/>
    <w:rsid w:val="00BC0D15"/>
    <w:rsid w:val="00BE5359"/>
    <w:rsid w:val="00C00741"/>
    <w:rsid w:val="00C06B7A"/>
    <w:rsid w:val="00C10E56"/>
    <w:rsid w:val="00C21B3A"/>
    <w:rsid w:val="00C5740E"/>
    <w:rsid w:val="00CC7916"/>
    <w:rsid w:val="00CE68F5"/>
    <w:rsid w:val="00D1692B"/>
    <w:rsid w:val="00D80189"/>
    <w:rsid w:val="00D8556D"/>
    <w:rsid w:val="00D91ABB"/>
    <w:rsid w:val="00DA0211"/>
    <w:rsid w:val="00DB7004"/>
    <w:rsid w:val="00DC62EC"/>
    <w:rsid w:val="00DD32CB"/>
    <w:rsid w:val="00DE2837"/>
    <w:rsid w:val="00DF66D3"/>
    <w:rsid w:val="00E830E8"/>
    <w:rsid w:val="00EB2823"/>
    <w:rsid w:val="00EC1F0E"/>
    <w:rsid w:val="00F20C17"/>
    <w:rsid w:val="00F52376"/>
    <w:rsid w:val="00FE0234"/>
    <w:rsid w:val="00FE22AF"/>
    <w:rsid w:val="143DC240"/>
    <w:rsid w:val="20EC2098"/>
    <w:rsid w:val="282092FB"/>
    <w:rsid w:val="33A424C2"/>
    <w:rsid w:val="3A771524"/>
    <w:rsid w:val="3C7D146C"/>
    <w:rsid w:val="3FCB72F7"/>
    <w:rsid w:val="4A94E73E"/>
    <w:rsid w:val="4BB8CEE1"/>
    <w:rsid w:val="4EBC6A20"/>
    <w:rsid w:val="57A9B614"/>
    <w:rsid w:val="74B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72ED"/>
  <w15:chartTrackingRefBased/>
  <w15:docId w15:val="{AE2C79A7-FAEB-467C-80E0-7EC9FE1D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F04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F04"/>
    <w:pPr>
      <w:ind w:left="720"/>
      <w:contextualSpacing/>
    </w:pPr>
    <w:rPr>
      <w:rFonts w:ascii="Barlow SemiBold" w:hAnsi="Barlow SemiBold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722F04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08554E"/>
    <w:pPr>
      <w:spacing w:after="0" w:line="240" w:lineRule="auto"/>
    </w:pPr>
    <w:rPr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523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523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52376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23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2376"/>
    <w:rPr>
      <w:b/>
      <w:bCs/>
      <w:kern w:val="0"/>
      <w:sz w:val="20"/>
      <w:szCs w:val="2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nomie.regione.emilia-romagna.it/unioni-di-comuni/programma-di-riordino-territoriale/prt-2024-202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E853B8-73FF-458D-B8C3-F7D56F171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21815-2BAE-4F94-B9A4-FF9E3521B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87F2F-7786-43E2-8C3A-A8C374296133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676</Words>
  <Characters>3858</Characters>
  <Application>Microsoft Office Word</Application>
  <DocSecurity>0</DocSecurity>
  <Lines>32</Lines>
  <Paragraphs>9</Paragraphs>
  <ScaleCrop>false</ScaleCrop>
  <Company>Regione Emilia-Romagna</Company>
  <LinksUpToDate>false</LinksUpToDate>
  <CharactersWithSpaces>4525</CharactersWithSpaces>
  <SharedDoc>false</SharedDoc>
  <HLinks>
    <vt:vector size="6" baseType="variant"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cp:keywords/>
  <dc:description/>
  <cp:lastModifiedBy>De Giorgi Irene</cp:lastModifiedBy>
  <cp:revision>38</cp:revision>
  <dcterms:created xsi:type="dcterms:W3CDTF">2024-02-21T23:25:00Z</dcterms:created>
  <dcterms:modified xsi:type="dcterms:W3CDTF">2024-06-14T09:58:00Z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